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Autospacing="0" w:before="0" w:afterAutospacing="0" w:after="150"/>
        <w:jc w:val="center"/>
        <w:rPr/>
      </w:pPr>
      <w:r>
        <w:rPr>
          <w:rStyle w:val="Strong"/>
        </w:rPr>
        <w:t>ЛИЦЕНЗИОННОЕ СОГЛАШЕНИЕ</w:t>
      </w:r>
      <w:r>
        <w:rPr/>
        <w:br/>
      </w:r>
      <w:r>
        <w:rPr>
          <w:rStyle w:val="Strong"/>
        </w:rPr>
        <w:t>ОБ ИСПОЛЬЗОВАНИИ ПРОГРАММНОГО ПРОДУКТА «</w:t>
      </w:r>
      <w:r>
        <w:rPr>
          <w:rStyle w:val="Strong"/>
        </w:rPr>
        <w:t>ПРОГРАММА ДЛЯ ЭВМ</w:t>
      </w:r>
      <w:r>
        <w:rPr>
          <w:rStyle w:val="Strong"/>
          <w:rFonts w:asciiTheme="minorHAnsi" w:cstheme="minorBidi" w:eastAsiaTheme="minorHAnsi" w:hAnsiTheme="minorHAnsi"/>
          <w:shd w:fill="FFFF00" w:val="clear"/>
        </w:rPr>
        <w:t xml:space="preserve"> </w:t>
      </w:r>
      <w:r>
        <w:rPr>
          <w:rStyle w:val="Strong"/>
          <w:rFonts w:asciiTheme="minorHAnsi" w:cstheme="minorBidi" w:eastAsiaTheme="minorHAnsi" w:hAnsiTheme="minorHAnsi"/>
          <w:shd w:fill="auto" w:val="clear"/>
        </w:rPr>
        <w:t>«</w:t>
      </w:r>
      <w:r>
        <w:rPr>
          <w:rStyle w:val="Strong"/>
          <w:rFonts w:asciiTheme="minorHAnsi" w:cstheme="minorBidi" w:eastAsiaTheme="minorHAnsi" w:hAnsiTheme="minorHAnsi"/>
          <w:shd w:fill="auto" w:val="clear"/>
        </w:rPr>
        <w:t>СЛУЖБА ЗАБОТЫ</w:t>
      </w:r>
      <w:r>
        <w:rPr>
          <w:rStyle w:val="Strong"/>
          <w:rFonts w:asciiTheme="minorHAnsi" w:cstheme="minorBidi" w:eastAsiaTheme="minorHAnsi" w:hAnsiTheme="minorHAnsi"/>
          <w:shd w:fill="auto" w:val="clear"/>
        </w:rPr>
        <w:t>»</w:t>
      </w:r>
      <w:r>
        <w:rPr/>
        <w:br/>
      </w:r>
      <w:r>
        <w:rPr>
          <w:rStyle w:val="Strong"/>
        </w:rPr>
        <w:t>И ВСЕХ ЕГО ВЕРСИЙ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 xml:space="preserve">ВНИМАТЕЛЬНО ОЗНАКОМЬТЕСЬ С УСЛОВИЯМИ СОГЛАШЕНИЯ ПРЕЖДЕ, ЧЕМ ВЫ НАЧНЕТЕ ЗАГРУЗКУ И/ИЛИ УСТАНОВКУ И/ИЛИ КОПИРОВАНИЕ И/ИЛИ ИНСТАЛЛЯЦИЮ И/ИЛИ ЛЮБОЕ ИСПОЛЬЗОВАНИЕ </w:t>
      </w:r>
      <w:r>
        <w:rPr>
          <w:rStyle w:val="Strong"/>
          <w:rFonts w:asciiTheme="minorHAnsi" w:cstheme="minorBidi" w:eastAsiaTheme="minorHAnsi" w:hAnsiTheme="minorHAnsi"/>
          <w:b w:val="false"/>
          <w:shd w:fill="auto" w:val="clear"/>
        </w:rPr>
        <w:t>ПРОГРАММЫ ДЛЯ ЭВМ “</w:t>
      </w:r>
      <w:r>
        <w:rPr>
          <w:rStyle w:val="Strong"/>
          <w:rFonts w:asciiTheme="minorHAnsi" w:cstheme="minorBidi" w:eastAsiaTheme="minorHAnsi" w:hAnsiTheme="minorHAnsi"/>
          <w:b w:val="false"/>
          <w:shd w:fill="auto" w:val="clear"/>
        </w:rPr>
        <w:t>СЛУЖБА ЗАБОТЫ</w:t>
      </w:r>
      <w:r>
        <w:rPr>
          <w:rStyle w:val="Strong"/>
          <w:rFonts w:asciiTheme="minorHAnsi" w:cstheme="minorBidi" w:eastAsiaTheme="minorHAnsi" w:hAnsiTheme="minorHAnsi"/>
          <w:b w:val="false"/>
          <w:shd w:fill="auto" w:val="clear"/>
        </w:rPr>
        <w:t>”</w:t>
      </w:r>
      <w:r>
        <w:rPr/>
        <w:t xml:space="preserve"> НА ВАШ КОМПЬЮТЕР/МОБИЛЬНОЕ УСТРОЙСТВО. ЛЮБОЕ ИСПОЛЬЗОВАНИЕ СЕРВИСА ОЗНАЧАЕТ ВАШЕ ПОНИМАНИЕ ТЕКСТА СОГЛАШЕНИЯ, СОГЛАСИЕ И ПОЛНОЕ И БЕЗОГОВОРОЧНОЕ ПРИНЯТИЕ ВСЕХ УСЛОВИЙ НАСТОЯЩЕГО СОГЛАШЕНИЯ.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 xml:space="preserve">Настоящее Лицензионное соглашение (далее – Соглашение) на предоставление прав использования Программного продукта коммерческое наименование </w:t>
      </w:r>
      <w:r>
        <w:rPr>
          <w:rFonts w:asciiTheme="minorHAnsi" w:cstheme="minorBidi" w:eastAsiaTheme="minorHAnsi" w:hAnsiTheme="minorHAnsi"/>
          <w:shd w:fill="auto" w:val="clear"/>
        </w:rPr>
        <w:t>«</w:t>
      </w:r>
      <w:r>
        <w:rPr>
          <w:rFonts w:asciiTheme="minorHAnsi" w:cstheme="minorBidi" w:eastAsiaTheme="minorHAnsi" w:hAnsiTheme="minorHAnsi"/>
          <w:shd w:fill="auto" w:val="clear"/>
        </w:rPr>
        <w:t>Программа для ЭВМ</w:t>
      </w:r>
      <w:r>
        <w:rPr>
          <w:rFonts w:asciiTheme="minorHAnsi" w:cstheme="minorBidi" w:eastAsiaTheme="minorHAnsi" w:hAnsiTheme="minorHAnsi"/>
          <w:shd w:fill="auto" w:val="clear"/>
        </w:rPr>
        <w:t xml:space="preserve"> «</w:t>
      </w:r>
      <w:r>
        <w:rPr>
          <w:rFonts w:asciiTheme="minorHAnsi" w:cstheme="minorBidi" w:eastAsiaTheme="minorHAnsi" w:hAnsiTheme="minorHAnsi"/>
          <w:shd w:fill="auto" w:val="clear"/>
        </w:rPr>
        <w:t>Служба Заботы</w:t>
      </w:r>
      <w:r>
        <w:rPr>
          <w:rFonts w:asciiTheme="minorHAnsi" w:cstheme="minorBidi" w:eastAsiaTheme="minorHAnsi" w:hAnsiTheme="minorHAnsi"/>
          <w:shd w:fill="auto" w:val="clear"/>
        </w:rPr>
        <w:t>»</w:t>
      </w:r>
      <w:r>
        <w:rPr>
          <w:rFonts w:asciiTheme="minorHAnsi" w:cstheme="minorBidi" w:eastAsiaTheme="minorHAnsi" w:hAnsiTheme="minorHAnsi"/>
          <w:b/>
          <w:shd w:fill="auto" w:val="clear"/>
        </w:rPr>
        <w:t xml:space="preserve"> </w:t>
      </w:r>
      <w:r>
        <w:rPr>
          <w:rFonts w:asciiTheme="minorHAnsi" w:cstheme="minorBidi" w:eastAsiaTheme="minorHAnsi" w:hAnsiTheme="minorHAnsi"/>
          <w:shd w:fill="auto" w:val="clear"/>
        </w:rPr>
        <w:t>(Свидетельство о государственной регистрации № 202466</w:t>
      </w:r>
      <w:r>
        <w:rPr>
          <w:rFonts w:asciiTheme="minorHAnsi" w:cstheme="minorBidi" w:eastAsiaTheme="minorHAnsi" w:hAnsiTheme="minorHAnsi"/>
          <w:shd w:fill="auto" w:val="clear"/>
        </w:rPr>
        <w:t>87743</w:t>
      </w:r>
      <w:r>
        <w:rPr>
          <w:rFonts w:asciiTheme="minorHAnsi" w:cstheme="minorBidi" w:eastAsiaTheme="minorHAnsi" w:hAnsiTheme="minorHAnsi"/>
          <w:shd w:fill="auto" w:val="clear"/>
        </w:rPr>
        <w:t>, дата регистрации «</w:t>
      </w:r>
      <w:r>
        <w:rPr>
          <w:rFonts w:asciiTheme="minorHAnsi" w:cstheme="minorBidi" w:eastAsiaTheme="minorHAnsi" w:hAnsiTheme="minorHAnsi"/>
          <w:shd w:fill="auto" w:val="clear"/>
        </w:rPr>
        <w:t>11</w:t>
      </w:r>
      <w:r>
        <w:rPr>
          <w:rFonts w:asciiTheme="minorHAnsi" w:cstheme="minorBidi" w:eastAsiaTheme="minorHAnsi" w:hAnsiTheme="minorHAnsi"/>
          <w:shd w:fill="auto" w:val="clear"/>
        </w:rPr>
        <w:t xml:space="preserve">» </w:t>
      </w:r>
      <w:r>
        <w:rPr>
          <w:rFonts w:asciiTheme="minorHAnsi" w:cstheme="minorBidi" w:eastAsiaTheme="minorHAnsi" w:hAnsiTheme="minorHAnsi"/>
          <w:shd w:fill="auto" w:val="clear"/>
        </w:rPr>
        <w:t>сентября</w:t>
      </w:r>
      <w:r>
        <w:rPr>
          <w:rFonts w:asciiTheme="minorHAnsi" w:cstheme="minorBidi" w:eastAsiaTheme="minorHAnsi" w:hAnsiTheme="minorHAnsi"/>
          <w:shd w:fill="auto" w:val="clear"/>
        </w:rPr>
        <w:t xml:space="preserve"> 202</w:t>
      </w:r>
      <w:r>
        <w:rPr>
          <w:rFonts w:asciiTheme="minorHAnsi" w:cstheme="minorBidi" w:eastAsiaTheme="minorHAnsi" w:hAnsiTheme="minorHAnsi"/>
          <w:shd w:fill="auto" w:val="clear"/>
        </w:rPr>
        <w:t>6</w:t>
      </w:r>
      <w:r>
        <w:rPr>
          <w:rFonts w:asciiTheme="minorHAnsi" w:cstheme="minorBidi" w:eastAsiaTheme="minorHAnsi" w:hAnsiTheme="minorHAnsi"/>
          <w:shd w:fill="auto" w:val="clear"/>
        </w:rPr>
        <w:t xml:space="preserve"> года)</w:t>
      </w:r>
      <w:r>
        <w:rPr/>
        <w:t xml:space="preserve"> - и всех его версий (далее – Продукт) является договором присоединения, заключаемым между Вами – физическим или юридическим лицом (далее - Пользователь) и Обществом с ограниченной ответственностью «АЛЬТА Текнолоджи» (ООО «АЛЬТА Текнолоджи»), ОГРН </w:t>
      </w:r>
      <w:r>
        <w:rPr>
          <w:rFonts w:eastAsia="Calibri"/>
          <w:bCs/>
        </w:rPr>
        <w:t>1137746146636</w:t>
      </w:r>
      <w:r>
        <w:rPr/>
        <w:t xml:space="preserve">, ИНН </w:t>
      </w:r>
      <w:r>
        <w:rPr>
          <w:rFonts w:eastAsia="Calibri"/>
          <w:bCs/>
        </w:rPr>
        <w:t>7715953100</w:t>
      </w:r>
      <w:r>
        <w:rPr/>
        <w:t xml:space="preserve">, местонахождение, адрес: 124527, Российская Федерация, г. Москва, г. Зеленоград, корпус 847, помещение </w:t>
      </w:r>
      <w:r>
        <w:rPr>
          <w:lang w:val="en-US"/>
        </w:rPr>
        <w:t>XI</w:t>
      </w:r>
      <w:r>
        <w:rPr/>
        <w:t xml:space="preserve"> (далее – Правообладатель). Настоящее Соглашение определяет условия, порядок, ограничения и иные правила использования Продукта. Настоящее Соглашение имеет юридическую силу как иное другое письменное соглашение, подписанное Вами. Правообладатель оставляет за собой право на внесение изменений в настоящее Соглашение, обновленная версия данного документа размещена: </w:t>
      </w:r>
      <w:r>
        <w:rPr>
          <w:rFonts w:asciiTheme="minorHAnsi" w:cstheme="minorBidi" w:eastAsiaTheme="minorHAnsi" w:hAnsiTheme="minorHAnsi"/>
          <w:b/>
          <w:shd w:fill="auto" w:val="clear"/>
          <w:lang w:val="en-US"/>
        </w:rPr>
        <w:t>https</w:t>
      </w:r>
      <w:r>
        <w:rPr>
          <w:rFonts w:asciiTheme="minorHAnsi" w:cstheme="minorBidi" w:eastAsiaTheme="minorHAnsi" w:hAnsiTheme="minorHAnsi"/>
          <w:b/>
          <w:shd w:fill="auto" w:val="clear"/>
        </w:rPr>
        <w:t>://altatec.ru/careservice/legal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Если Вы не согласны с условиями Соглашения, Вам необходимо, не производя установку Продукта, произвести возврат Продукта Правообладателю или его уполномоченному представителю или прекратить установку Продукта. При этом, отказ от установки/загрузки Продукта не освобождает Вас, в том числе, от выполнения иных условий настоящего Соглашения, приведенных в разделе 3.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>
          <w:b/>
          <w:b/>
        </w:rPr>
      </w:pPr>
      <w:r>
        <w:rPr>
          <w:b/>
        </w:rPr>
        <w:t>1. ИСКЛЮЧИТЕЛЬНЫЕ ПРАВА НА ИНТЕЛЛЕКТУАЛЬНУЮ СОБСТВЕННОСТЬ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1.1. Продукт, а также любой его элемент, являются охраняемыми результатами интеллектуальной деятельности и коммерческой тайной Правообладателя и защищены в соответствии с положениями действующего законодательства Российской Федерации, а также условиями настоящего Соглашения.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 xml:space="preserve">1.2. Продукт является зарегистрированной Федеральной службой по интеллектуальной собственности программой для ЭВМ </w:t>
      </w:r>
      <w:r>
        <w:rPr>
          <w:rFonts w:asciiTheme="minorHAnsi" w:cstheme="minorBidi" w:eastAsiaTheme="minorHAnsi" w:hAnsiTheme="minorHAnsi"/>
          <w:shd w:fill="auto" w:val="clear"/>
        </w:rPr>
        <w:t>(регистрационный номер 202466</w:t>
      </w:r>
      <w:r>
        <w:rPr>
          <w:rFonts w:asciiTheme="minorHAnsi" w:cstheme="minorBidi" w:eastAsiaTheme="minorHAnsi" w:hAnsiTheme="minorHAnsi"/>
          <w:shd w:fill="auto" w:val="clear"/>
        </w:rPr>
        <w:t>87743</w:t>
      </w:r>
      <w:r>
        <w:rPr>
          <w:rFonts w:asciiTheme="minorHAnsi" w:cstheme="minorBidi" w:eastAsiaTheme="minorHAnsi" w:hAnsiTheme="minorHAnsi"/>
          <w:shd w:fill="auto" w:val="clear"/>
        </w:rPr>
        <w:t>)</w:t>
      </w:r>
      <w:r>
        <w:rPr/>
        <w:t>. Правообладатель гарантирует, что имеет соответствующие права на использование Продукта.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1.3. Использование Продукта в нарушение условий настоящего Соглашения признается нарушением действующего законодательства Российской Федерации и является достаточным основанием для лишения Вас прав, предоставленных в отношении Продукта.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1.4. Правообладатель заявляет, что на момент передачи прав на использование Продукта ему ничего не известно о правах третьих лиц, которые могли бы быть нарушены предоставлением Пользователю неисключительного права использования Продукта по данному Соглашению.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1.5. В течение срока действия настоящего Соглашения Правообладатель обязан воздерживаться от каких-либо действий, способных затруднить осуществление Пользователем предоставленного ему права использования Продукта в установленных Соглашением пределах.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>
          <w:b/>
          <w:b/>
        </w:rPr>
      </w:pPr>
      <w:r>
        <w:rPr>
          <w:b/>
        </w:rPr>
        <w:t>2. ПРЕДМЕТ СОГЛАШЕНИЯ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 xml:space="preserve">2.1. Предметом настоящего Соглашения является предоставление Правообладателем Вам - Пользователю (при условии соблюдения Вами всех технических требований, описанных в технической и пользовательской документации, а также всех условий и ограничений, указанных в настоящем Соглашении) неисключительных прав использования программного Продукта и всех его последующих версий в пределах и способами, указанными в настоящем Соглашении. Описание и инструкции по использованию Продукта входят в состав Продукта, а также доступны на сайте Продукта по адресу: </w:t>
      </w:r>
      <w:r>
        <w:rPr>
          <w:rFonts w:asciiTheme="minorHAnsi" w:cstheme="minorBidi" w:eastAsiaTheme="minorHAnsi" w:hAnsiTheme="minorHAnsi"/>
          <w:b/>
          <w:shd w:fill="auto" w:val="clear"/>
          <w:lang w:val="en-US"/>
        </w:rPr>
        <w:t>https</w:t>
      </w:r>
      <w:r>
        <w:rPr>
          <w:rFonts w:asciiTheme="minorHAnsi" w:cstheme="minorBidi" w:eastAsiaTheme="minorHAnsi" w:hAnsiTheme="minorHAnsi"/>
          <w:b/>
          <w:shd w:fill="auto" w:val="clear"/>
        </w:rPr>
        <w:t>://altatec.ru/careservice/legal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2.2. Условия и порядок выплаты вознаграждения за предоставление прав использования Продукта в случае его коммерческого использования в зависимости от типа лицензии определяются в отдельно заключаемых договорах с Правообладателем.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>
          <w:b/>
          <w:b/>
        </w:rPr>
      </w:pPr>
      <w:r>
        <w:rPr>
          <w:b/>
        </w:rPr>
        <w:t>3. ОБЪЕМ ПЕРЕДАВАЕМЫХ ПРАВ И СПОСОБЫ ИСПОЛЬЗОВАНИЯ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3.1. Пользователю предоставляется неисключительное право на использование Продукта и пользовательской документации к нему в пределах, определенных настоящим Соглашением (простая (неисключительная) лицензия): право на установку и воспроизведение, предоставленное для инсталляции и запуска программных продуктов в соответствии с документацией, сопровождающей поставку Продукта и устанавливающих правила его использования;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3.2. Получаемое Пользователем право не включает права:</w:t>
        <w:br/>
        <w:t>3.2.1. Передавать полученное право пользования Продукта, включая носители и документацию, юридическим или физическим лицами, путем продажи, проката, сдачи внаем, предоставления взаймы или иными другими способами отчуждения.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3.2.2. Передавать коды активации и доступа (или их копии) для использования Продукта третьим лицам.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3.2.3. Использовать Продукт от имени третьей стороны.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3.2.4. Осуществлять следующую деятельность: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3.2.4.1. Модифицировать Продукт.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3.2.4.2. Вносить какие-либо изменения в объектный код Продукта за исключением тех, которые вносятся средствами, включенными в комплект Продукта и описанными в документации.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3.2.4.3. Совершать относительно Продукта другие действия, нарушающие Российские и международные нормы законодательства.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3.3. Получаемое Пользователем право на использование Продукта действует в течение срока действия исключительных прав на Продукт и в пределах территории Российской Федерации, если иное не определяется в отдельных соглашениях с Правообладателем.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3.4. Возможны следующие способы применения Продукта с предоставляемыми Правообладателем техническими характеристиками «как есть»: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3.4.1. Использование Продукта для разработки прикладных решений, для проведения тестов, экспериментов и изучения возможностей Продукта.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3.4.2. Права использования Продукта для иных целей с учетом ограничений использования Продукта, в рамках отдельно заключаемых Пользователем и Правообладателем лицензионных договоров, определяются условиями данных договоров.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>
          <w:b/>
          <w:b/>
        </w:rPr>
      </w:pPr>
      <w:r>
        <w:rPr>
          <w:b/>
        </w:rPr>
        <w:t>4. ПОРЯДОК ПЕРЕДАЧИ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4.</w:t>
      </w:r>
      <w:r>
        <w:rPr>
          <w:lang w:val="en-US"/>
        </w:rPr>
        <w:t>1</w:t>
      </w:r>
      <w:r>
        <w:rPr/>
        <w:t>. Любые изменения, дополнения и прочие действия, связанные с передачей, активацией, предоставлением доступа к Продукту осуществляются исключительно Правообладателем напрямую или через его уполномоченных представителей.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>
          <w:b/>
          <w:b/>
        </w:rPr>
      </w:pPr>
      <w:r>
        <w:rPr>
          <w:b/>
        </w:rPr>
        <w:t>5. ГАРАНТИЙНЫЕ ОБЯЗАТЕЛЬСТВА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5.1. Правообладатель гарантирует, что при передаче прав на Продукт не нарушены авторские, смежные или любые иные права третьих лиц.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5.2. Продукт с определенными в Соглашении правами его использования предоставляется «как есть», с отсутствием обязательств Правообладателя о его пригодности для целей Пользователя или совместного использования с определенным программным обеспечением.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5.3. Правообладатель не предоставляет никаких гарантий в отношении программного обеспечения и оборудования других производителей.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5.4. Дополнительно Правообладатель заявляет о нижеследующем: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5.4.1. Правообладатель не несет никакой ответственности за любые повреждения, включая потерю дохода, нанесенные прямым или непрямым, специальным или случайным использованием Продукта или его документации, даже если Правообладатель был извещено о возможности таких повреждений.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5.4.5. Продукт предоставляется на основе принципа "как есть" и Правообладатель не обязан предоставлять сопровождение, поддержку, обновления, расширения или изменения.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>
          <w:b/>
          <w:b/>
        </w:rPr>
      </w:pPr>
      <w:r>
        <w:rPr>
          <w:b/>
        </w:rPr>
        <w:t>6. ОТВЕТСТВЕННОСТЬ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6.1. Правообладатель не несет ответственности и не возмещают прямые или косвенные убытки, включая упущенную выгоду, потерю конфиденциальной информации Пользователя, вызванные нарушениями и/или ошибками при эксплуатации Продукта, возникшие в результате неправомерных действий персонала Пользователя, либо третьих лиц, а также неполадок технических средств и сбоев электрооборудования.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6.2. Правообладатель также не несет ответственности и не дает никаких гарантий в отношении каких-либо потребительских качеств Продукта, кроме заявленных и приведенных в пользовательской документации, если Продукт был приобретен Пользователем не у Правообладателя или его уполномоченных представителей.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6.3. На Пользователя возлагается ответственность по возмещению любого ущерба, вытекающего и следующего из использования им Продукта и информации, содержащейся в нем или созданной Продуктом, а также вытекающего из взаимодействия (или невозможности взаимодействовать должным образом) с любым иным оборудованием, комплексом или программным обеспечением, предоставленным Правообладателем и/или третьим лицом.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6.4. Пользователь обязуется компенсировать Правообладателю любые расходы, включая судебные издержки, вознаграждение адвокатам/юристам/представителям, а также осуществлять защиту Правообладателя от любых претензий, споров, судебных разбирательств, потерь, убытков, расходов, затрат, любой иной ответственности, возникающих в результате неправомерного, незаконного использования Продукта (в том числе любой имеющей отношение к Пользователю стороной, равно как и лицами, уполномоченными по поручению Пользователя действовать явным образом в нарушение условий настоящего Соглашения и действующего законодательства).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>
          <w:b/>
          <w:b/>
        </w:rPr>
      </w:pPr>
      <w:r>
        <w:rPr>
          <w:b/>
        </w:rPr>
        <w:t>7. ОСОБЫЕ, ДОПОЛНИТЕЛЬНЫЕ УСЛОВИЯ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7.1. Права на использование Продукта действительны только в том случае, если Продукт является подлинным.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7.2. Настоящее Соглашение, как описано выше, считается заключенным и вступает в силу с момента начала установки и/или использования Продукта и представляет собой полное соглашение между Пользователем и Правообладателем о его условиях. Если какое-либо его положения Соглашения признаны компетентным судом недействительными, незаконными, остальные положения Соглашения остаются в силе и продолжают действовать. Все споры и разногласия сторон настоящего Соглашения подлежат урегулированию путем переговоров, а при недостижении положительного результата переговоров – в судебном порядке в соответствии с действующим законодательством Российской Федерации.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>7.3. Нарушение условий настоящего Соглашения влечет ответственность в соответствии с действующим законодательством Российской Федерации и данным Соглашением. Без ущерба для каких-либо своих прав Правообладатель имеет право в одностороннем прекратить действие настоящего Соглашения при несоблюдении Пользователем его условий и ограничений.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/>
      </w:pPr>
      <w:r>
        <w:rPr/>
        <w:t xml:space="preserve">7.4. Если Пользователю стала известна какая-либо информация, указывающая на нарушение прав Правообладателя (неправомерная перепродажа Продукта, ссылки на пиратские сайты) просим направлять указанную информацию по </w:t>
      </w:r>
      <w:r>
        <w:rPr>
          <w:rFonts w:asciiTheme="minorHAnsi" w:cstheme="minorBidi" w:eastAsiaTheme="minorHAnsi" w:hAnsiTheme="minorHAnsi"/>
          <w:shd w:fill="auto" w:val="clear"/>
        </w:rPr>
        <w:t xml:space="preserve">адресу: </w:t>
      </w:r>
      <w:r>
        <w:rPr>
          <w:rFonts w:asciiTheme="minorHAnsi" w:cstheme="minorBidi" w:eastAsiaTheme="minorHAnsi" w:hAnsiTheme="minorHAnsi"/>
          <w:b/>
          <w:bCs/>
          <w:shd w:fill="auto" w:val="clear"/>
          <w:lang w:val="en-US"/>
        </w:rPr>
        <w:t>info</w:t>
      </w:r>
      <w:r>
        <w:rPr>
          <w:rFonts w:asciiTheme="minorHAnsi" w:cstheme="minorBidi" w:eastAsiaTheme="minorHAnsi" w:hAnsiTheme="minorHAnsi"/>
          <w:b/>
          <w:shd w:fill="auto" w:val="clear"/>
        </w:rPr>
        <w:t>@</w:t>
      </w:r>
      <w:r>
        <w:rPr>
          <w:rFonts w:asciiTheme="minorHAnsi" w:cstheme="minorBidi" w:eastAsiaTheme="minorHAnsi" w:hAnsiTheme="minorHAnsi"/>
          <w:b/>
          <w:shd w:fill="auto" w:val="clear"/>
          <w:lang w:val="en-US"/>
        </w:rPr>
        <w:t>altatec.ru</w:t>
      </w:r>
    </w:p>
    <w:p>
      <w:pPr>
        <w:pStyle w:val="NormalWeb"/>
        <w:shd w:val="clear" w:color="auto" w:fill="FFFFFF"/>
        <w:spacing w:beforeAutospacing="0" w:before="0" w:afterAutospacing="0" w:after="150"/>
        <w:jc w:val="both"/>
        <w:rPr>
          <w:rFonts w:asciiTheme="minorHAnsi" w:cstheme="minorBidi" w:eastAsiaTheme="minorHAnsi" w:hAnsiTheme="minorHAnsi"/>
          <w:highlight w:val="none"/>
          <w:shd w:fill="auto" w:val="clear"/>
        </w:rPr>
      </w:pPr>
      <w:r>
        <w:rPr>
          <w:rFonts w:asciiTheme="minorHAnsi" w:cstheme="minorBidi" w:eastAsiaTheme="minorHAnsi" w:hAnsiTheme="minorHAnsi"/>
          <w:shd w:fill="auto" w:val="clear"/>
        </w:rPr>
        <w:t xml:space="preserve">7.5. За дополнительной информацией по возникающим вопросам в отношении настоящего Соглашения, иными разъяснениями по использованию Продукта Пользователь может обратиться по адресу: </w:t>
      </w:r>
      <w:r>
        <w:rPr>
          <w:rFonts w:asciiTheme="minorHAnsi" w:cstheme="minorBidi" w:eastAsiaTheme="minorHAnsi" w:hAnsiTheme="minorHAnsi"/>
          <w:b/>
          <w:bCs/>
          <w:shd w:fill="auto" w:val="clear"/>
          <w:lang w:val="en-US"/>
        </w:rPr>
        <w:t>info</w:t>
      </w:r>
      <w:r>
        <w:rPr>
          <w:rFonts w:asciiTheme="minorHAnsi" w:cstheme="minorBidi" w:eastAsiaTheme="minorHAnsi" w:hAnsiTheme="minorHAnsi"/>
          <w:b/>
          <w:shd w:fill="auto" w:val="clear"/>
        </w:rPr>
        <w:t>@</w:t>
      </w:r>
      <w:r>
        <w:rPr>
          <w:rFonts w:asciiTheme="minorHAnsi" w:cstheme="minorBidi" w:eastAsiaTheme="minorHAnsi" w:hAnsiTheme="minorHAnsi"/>
          <w:b/>
          <w:shd w:fill="auto" w:val="clear"/>
          <w:lang w:val="en-US"/>
        </w:rPr>
        <w:t>altatec.ru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276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57870"/>
    <w:rPr>
      <w:sz w:val="16"/>
      <w:szCs w:val="16"/>
    </w:rPr>
  </w:style>
  <w:style w:type="character" w:styleId="Style14" w:customStyle="1">
    <w:name w:val="Текст примечания Знак"/>
    <w:basedOn w:val="DefaultParagraphFont"/>
    <w:link w:val="Annotationtext"/>
    <w:uiPriority w:val="99"/>
    <w:semiHidden/>
    <w:qFormat/>
    <w:rsid w:val="00357870"/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character" w:styleId="Style15" w:customStyle="1">
    <w:name w:val="Тема примечания Знак"/>
    <w:basedOn w:val="Style14"/>
    <w:link w:val="Annotationsubject"/>
    <w:uiPriority w:val="99"/>
    <w:semiHidden/>
    <w:qFormat/>
    <w:rsid w:val="00357870"/>
    <w:rPr>
      <w:rFonts w:ascii="Calibri" w:hAnsi="Calibri" w:eastAsia="Calibri" w:cs="" w:asciiTheme="minorHAnsi" w:cstheme="minorBidi" w:eastAsiaTheme="minorHAnsi" w:hAnsiTheme="minorHAnsi"/>
      <w:b/>
      <w:bCs/>
      <w:lang w:eastAsia="en-US"/>
    </w:rPr>
  </w:style>
  <w:style w:type="character" w:styleId="Style16">
    <w:name w:val="Hyperlink"/>
    <w:rPr>
      <w:color w:val="000080"/>
      <w:u w:val="single"/>
      <w:lang w:val="zxx" w:eastAsia="zxx" w:bidi="zxx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Style18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nnotationtext">
    <w:name w:val="annotation text"/>
    <w:basedOn w:val="Normal"/>
    <w:link w:val="Style14"/>
    <w:uiPriority w:val="99"/>
    <w:semiHidden/>
    <w:unhideWhenUsed/>
    <w:qFormat/>
    <w:rsid w:val="0035787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5"/>
    <w:uiPriority w:val="99"/>
    <w:semiHidden/>
    <w:unhideWhenUsed/>
    <w:qFormat/>
    <w:rsid w:val="00357870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0843A-2BF0-4F78-8E18-913E8EBF2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Application>DOCX_Edit_PLUS/7.4.0.3$Windows_X86_64 LibreOffice_project/</Application>
  <AppVersion>15.0000</AppVersion>
  <Pages>4</Pages>
  <Words>1231</Words>
  <Characters>9430</Characters>
  <CharactersWithSpaces>10620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2025-02-25T14:00:00Z</dcterms:created>
  <dc:creator/>
  <dc:description/>
  <dc:language>en-US</dc:language>
  <cp:lastModifiedBy/>
  <dcterms:modified xsi:type="dcterms:W3CDTF">2026-10-05T15:49:12Z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